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59" w:lineRule="auto"/>
        <w:jc w:val="center"/>
        <w:rPr>
          <w:rFonts w:ascii="Comic Sans MS" w:cs="Comic Sans MS" w:hAnsi="Comic Sans MS" w:eastAsia="Comic Sans MS"/>
          <w:b w:val="1"/>
          <w:bCs w:val="1"/>
          <w:sz w:val="28"/>
          <w:szCs w:val="28"/>
        </w:rPr>
      </w:pPr>
      <w:r>
        <w:rPr>
          <w:rFonts w:ascii="Comic Sans MS" w:hAnsi="Comic Sans MS"/>
          <w:b w:val="1"/>
          <w:bCs w:val="1"/>
          <w:sz w:val="28"/>
          <w:szCs w:val="28"/>
          <w:rtl w:val="0"/>
          <w:lang w:val="en-US"/>
        </w:rPr>
        <w:t>Responding to Safeguarding Allegations or Concerns</w:t>
      </w:r>
    </w:p>
    <w:p>
      <w:pPr>
        <w:pStyle w:val="Body A"/>
        <w:spacing w:line="259" w:lineRule="auto"/>
        <w:jc w:val="center"/>
        <w:rPr>
          <w:rFonts w:ascii="Comic Sans MS" w:cs="Comic Sans MS" w:hAnsi="Comic Sans MS" w:eastAsia="Comic Sans MS"/>
          <w:b w:val="1"/>
          <w:bCs w:val="1"/>
          <w:sz w:val="28"/>
          <w:szCs w:val="28"/>
        </w:rPr>
      </w:pPr>
      <w:r>
        <w:rPr>
          <w:rFonts w:ascii="Comic Sans MS" w:hAnsi="Comic Sans MS"/>
          <w:b w:val="1"/>
          <w:bCs w:val="1"/>
          <w:sz w:val="28"/>
          <w:szCs w:val="28"/>
          <w:rtl w:val="0"/>
          <w:lang w:val="it-IT"/>
        </w:rPr>
        <w:t>Procedure for</w:t>
      </w:r>
      <w:r>
        <w:rPr>
          <w:rFonts w:ascii="Comic Sans MS" w:hAnsi="Comic Sans MS"/>
          <w:b w:val="1"/>
          <w:bCs w:val="1"/>
          <w:sz w:val="28"/>
          <w:szCs w:val="28"/>
          <w:rtl w:val="0"/>
          <w:lang w:val="en-US"/>
        </w:rPr>
        <w:t xml:space="preserve"> St Andrew</w:t>
      </w:r>
      <w:r>
        <w:rPr>
          <w:rFonts w:ascii="Comic Sans MS" w:hAnsi="Comic Sans MS" w:hint="default"/>
          <w:b w:val="1"/>
          <w:bCs w:val="1"/>
          <w:sz w:val="28"/>
          <w:szCs w:val="28"/>
          <w:rtl w:val="0"/>
          <w:lang w:val="en-US"/>
        </w:rPr>
        <w:t>’</w:t>
      </w:r>
      <w:r>
        <w:rPr>
          <w:rFonts w:ascii="Comic Sans MS" w:hAnsi="Comic Sans MS"/>
          <w:b w:val="1"/>
          <w:bCs w:val="1"/>
          <w:sz w:val="28"/>
          <w:szCs w:val="28"/>
          <w:rtl w:val="0"/>
          <w:lang w:val="en-US"/>
        </w:rPr>
        <w:t>s Church, Buckland Monachorum with the Church of the Holy Spirit, Milton Combe</w:t>
      </w:r>
    </w:p>
    <w:p>
      <w:pPr>
        <w:pStyle w:val="Body A"/>
        <w:spacing w:line="259" w:lineRule="auto"/>
        <w:rPr>
          <w:rFonts w:ascii="Comic Sans MS" w:cs="Comic Sans MS" w:hAnsi="Comic Sans MS" w:eastAsia="Comic Sans MS"/>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Under House of Bishops guidance, every PCC must have a procedure in place to deal promptly with safeguarding allegations or concerns.  This procedure localises the national and diocesan guidance so that church officers are aware of how to respond properly in their local context when they become aware of a safeguarding concern.</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All church officers should be up to date on safeguarding training at the appropriate level for their role.  From their training they should understand the principles of:</w:t>
      </w:r>
    </w:p>
    <w:p>
      <w:pPr>
        <w:pStyle w:val="Body A"/>
        <w:spacing w:line="259" w:lineRule="auto"/>
        <w:jc w:val="center"/>
        <w:rPr>
          <w:rFonts w:ascii="Comic Sans MS" w:cs="Comic Sans MS" w:hAnsi="Comic Sans MS" w:eastAsia="Comic Sans MS"/>
          <w:sz w:val="28"/>
          <w:szCs w:val="28"/>
        </w:rPr>
      </w:pPr>
      <w:r>
        <w:rPr>
          <w:rFonts w:ascii="Comic Sans MS" w:hAnsi="Comic Sans MS"/>
          <w:sz w:val="28"/>
          <w:szCs w:val="28"/>
          <w:rtl w:val="0"/>
          <w:lang w:val="en-US"/>
        </w:rPr>
        <w:t xml:space="preserve">Recognise </w:t>
      </w:r>
      <w:r>
        <w:rPr>
          <w:rFonts w:ascii="Comic Sans MS" w:hAnsi="Comic Sans MS" w:hint="default"/>
          <w:sz w:val="28"/>
          <w:szCs w:val="28"/>
          <w:rtl w:val="0"/>
          <w:lang w:val="en-US"/>
        </w:rPr>
        <w:t xml:space="preserve">– </w:t>
      </w:r>
      <w:r>
        <w:rPr>
          <w:rFonts w:ascii="Comic Sans MS" w:hAnsi="Comic Sans MS"/>
          <w:sz w:val="28"/>
          <w:szCs w:val="28"/>
          <w:rtl w:val="0"/>
          <w:lang w:val="en-US"/>
        </w:rPr>
        <w:t xml:space="preserve">Respond </w:t>
      </w:r>
      <w:r>
        <w:rPr>
          <w:rFonts w:ascii="Comic Sans MS" w:hAnsi="Comic Sans MS" w:hint="default"/>
          <w:sz w:val="28"/>
          <w:szCs w:val="28"/>
          <w:rtl w:val="0"/>
          <w:lang w:val="en-US"/>
        </w:rPr>
        <w:t xml:space="preserve">– </w:t>
      </w:r>
      <w:r>
        <w:rPr>
          <w:rFonts w:ascii="Comic Sans MS" w:hAnsi="Comic Sans MS"/>
          <w:sz w:val="28"/>
          <w:szCs w:val="28"/>
          <w:rtl w:val="0"/>
          <w:lang w:val="pt-PT"/>
        </w:rPr>
        <w:t xml:space="preserve">Record </w:t>
      </w:r>
      <w:r>
        <w:rPr>
          <w:rFonts w:ascii="Comic Sans MS" w:hAnsi="Comic Sans MS" w:hint="default"/>
          <w:sz w:val="28"/>
          <w:szCs w:val="28"/>
          <w:rtl w:val="0"/>
          <w:lang w:val="en-US"/>
        </w:rPr>
        <w:t xml:space="preserve">– </w:t>
      </w:r>
      <w:r>
        <w:rPr>
          <w:rFonts w:ascii="Comic Sans MS" w:hAnsi="Comic Sans MS"/>
          <w:sz w:val="28"/>
          <w:szCs w:val="28"/>
          <w:rtl w:val="0"/>
          <w:lang w:val="en-US"/>
        </w:rPr>
        <w:t>Refer</w:t>
      </w:r>
    </w:p>
    <w:p>
      <w:pPr>
        <w:pStyle w:val="Body A"/>
        <w:spacing w:line="259" w:lineRule="auto"/>
        <w:jc w:val="center"/>
        <w:rPr>
          <w:rFonts w:ascii="Comic Sans MS" w:cs="Comic Sans MS" w:hAnsi="Comic Sans MS" w:eastAsia="Comic Sans MS"/>
          <w:sz w:val="24"/>
          <w:szCs w:val="24"/>
        </w:rPr>
      </w:pPr>
      <w:r>
        <w:rPr>
          <w:rFonts w:ascii="Comic Sans MS" w:hAnsi="Comic Sans MS"/>
          <w:sz w:val="24"/>
          <w:szCs w:val="24"/>
          <w:rtl w:val="0"/>
          <w:lang w:val="en-US"/>
        </w:rPr>
        <w:t>Safeguarding is everyone</w:t>
      </w:r>
      <w:r>
        <w:rPr>
          <w:rFonts w:ascii="Comic Sans MS" w:hAnsi="Comic Sans MS" w:hint="default"/>
          <w:sz w:val="24"/>
          <w:szCs w:val="24"/>
          <w:rtl w:val="0"/>
          <w:lang w:val="en-US"/>
        </w:rPr>
        <w:t>’</w:t>
      </w:r>
      <w:r>
        <w:rPr>
          <w:rFonts w:ascii="Comic Sans MS" w:hAnsi="Comic Sans MS"/>
          <w:sz w:val="24"/>
          <w:szCs w:val="24"/>
          <w:rtl w:val="0"/>
          <w:lang w:val="en-US"/>
        </w:rPr>
        <w:t xml:space="preserve">s responsibility </w:t>
      </w:r>
      <w:r>
        <w:rPr>
          <w:rFonts w:ascii="Comic Sans MS" w:hAnsi="Comic Sans MS" w:hint="default"/>
          <w:sz w:val="24"/>
          <w:szCs w:val="24"/>
          <w:rtl w:val="0"/>
          <w:lang w:val="en-US"/>
        </w:rPr>
        <w:t xml:space="preserve">– </w:t>
      </w:r>
      <w:r>
        <w:rPr>
          <w:rFonts w:ascii="Comic Sans MS" w:hAnsi="Comic Sans MS"/>
          <w:sz w:val="24"/>
          <w:szCs w:val="24"/>
          <w:rtl w:val="0"/>
          <w:lang w:val="en-US"/>
        </w:rPr>
        <w:t>concerns must always be shared</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As well as being up to date on training, all church officers should have read section 7 of the Parish Safeguarding Handbook and retain a (hard or electronic) copy for reference.  Church Officers should always follow the guidance in section 7 in their response to a concern.</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 xml:space="preserve">Church officers should know who to contact.  A list of the relevant persons a church officer may need to contact in this parish when responding to a safeguarding concern is available. Relevant Local Authority contact details are on display in the church buildings and can be accessed on the Safeguarding Contacts page of the Diocese of Exeter website. </w:t>
      </w:r>
    </w:p>
    <w:p>
      <w:pPr>
        <w:pStyle w:val="Body A"/>
        <w:spacing w:line="259" w:lineRule="auto"/>
        <w:rPr>
          <w:rFonts w:ascii="Comic Sans MS" w:cs="Comic Sans MS" w:hAnsi="Comic Sans MS" w:eastAsia="Comic Sans MS"/>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If a church officer is in any doubt as to how to respond to a safeguarding concern they should consult with the Parish Safeguarding Representative or the Diocesan Safeguarding Team.  Outside of office hours, the statutory services will be able to guide the appropriate response to an urgent concern.</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Appendix A - The Church</w:t>
      </w:r>
      <w:r>
        <w:rPr>
          <w:rFonts w:ascii="Comic Sans MS" w:hAnsi="Comic Sans MS" w:hint="default"/>
          <w:sz w:val="24"/>
          <w:szCs w:val="24"/>
          <w:rtl w:val="0"/>
          <w:lang w:val="en-US"/>
        </w:rPr>
        <w:t>’</w:t>
      </w:r>
      <w:r>
        <w:rPr>
          <w:rFonts w:ascii="Comic Sans MS" w:hAnsi="Comic Sans MS"/>
          <w:sz w:val="24"/>
          <w:szCs w:val="24"/>
          <w:rtl w:val="0"/>
          <w:lang w:val="en-US"/>
        </w:rPr>
        <w:t>s Procedure for responding promptly to Safeguarding Concerns or Allegations.</w:t>
      </w: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Appendix B - Guidelines for responding to a person Disclosing Abuse</w:t>
      </w: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Appendix C - Quick Guide to responding promptly -taken from Parish Safeguarding Handbook</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en-US"/>
        </w:rPr>
        <w:t>This procedure was approved by St Andrew</w:t>
      </w:r>
      <w:r>
        <w:rPr>
          <w:rFonts w:ascii="Comic Sans MS" w:hAnsi="Comic Sans MS" w:hint="default"/>
          <w:sz w:val="24"/>
          <w:szCs w:val="24"/>
          <w:rtl w:val="0"/>
          <w:lang w:val="en-US"/>
        </w:rPr>
        <w:t>’</w:t>
      </w:r>
      <w:r>
        <w:rPr>
          <w:rFonts w:ascii="Comic Sans MS" w:hAnsi="Comic Sans MS"/>
          <w:sz w:val="24"/>
          <w:szCs w:val="24"/>
          <w:rtl w:val="0"/>
          <w:lang w:val="en-US"/>
        </w:rPr>
        <w:t xml:space="preserve">s Church Buckland Monachorum with the Church of the Holy Spirit, Milton Combe </w:t>
      </w:r>
      <w:r>
        <w:rPr>
          <w:rFonts w:ascii="Comic Sans MS" w:hAnsi="Comic Sans MS"/>
          <w:sz w:val="24"/>
          <w:szCs w:val="24"/>
          <w:rtl w:val="0"/>
          <w:lang w:val="fr-FR"/>
        </w:rPr>
        <w:t>PCC on</w:t>
      </w:r>
      <w:r>
        <w:rPr>
          <w:rFonts w:ascii="Comic Sans MS" w:hAnsi="Comic Sans MS"/>
          <w:sz w:val="24"/>
          <w:szCs w:val="24"/>
          <w:rtl w:val="0"/>
          <w:lang w:val="en-US"/>
        </w:rPr>
        <w:t xml:space="preserve"> 25th November 2024 and is to be reviewed annually.</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sz w:val="24"/>
          <w:szCs w:val="24"/>
        </w:rPr>
      </w:pPr>
      <w:r>
        <w:rPr>
          <w:rFonts w:ascii="Comic Sans MS" w:hAnsi="Comic Sans MS"/>
          <w:sz w:val="24"/>
          <w:szCs w:val="24"/>
          <w:rtl w:val="0"/>
          <w:lang w:val="da-DK"/>
        </w:rPr>
        <w:t xml:space="preserve">Signed: </w:t>
      </w:r>
      <w:r>
        <w:rPr>
          <w:rFonts w:ascii="Comic Sans MS" w:hAnsi="Comic Sans MS" w:hint="default"/>
          <w:sz w:val="24"/>
          <w:szCs w:val="24"/>
          <w:rtl w:val="0"/>
          <w:lang w:val="en-US"/>
        </w:rPr>
        <w:t xml:space="preserve">……………………………………………………  </w:t>
      </w:r>
      <w:r>
        <w:rPr>
          <w:rFonts w:ascii="Comic Sans MS" w:hAnsi="Comic Sans MS"/>
          <w:sz w:val="24"/>
          <w:szCs w:val="24"/>
          <w:rtl w:val="0"/>
          <w:lang w:val="en-US"/>
        </w:rPr>
        <w:t>(Incumbent)</w:t>
      </w:r>
    </w:p>
    <w:p>
      <w:pPr>
        <w:pStyle w:val="Body A"/>
        <w:spacing w:line="259" w:lineRule="auto"/>
        <w:rPr>
          <w:rFonts w:ascii="Comic Sans MS" w:cs="Comic Sans MS" w:hAnsi="Comic Sans MS" w:eastAsia="Comic Sans MS"/>
          <w:sz w:val="24"/>
          <w:szCs w:val="24"/>
        </w:rPr>
      </w:pPr>
    </w:p>
    <w:p>
      <w:pPr>
        <w:pStyle w:val="Body A"/>
        <w:spacing w:line="259" w:lineRule="auto"/>
        <w:rPr>
          <w:rFonts w:ascii="Comic Sans MS" w:cs="Comic Sans MS" w:hAnsi="Comic Sans MS" w:eastAsia="Comic Sans MS"/>
        </w:rPr>
      </w:pPr>
      <w:r>
        <w:rPr>
          <w:rFonts w:ascii="Comic Sans MS" w:hAnsi="Comic Sans MS"/>
          <w:rtl w:val="0"/>
          <w:lang w:val="en-US"/>
        </w:rPr>
        <w:t xml:space="preserve">Appendix A </w:t>
      </w:r>
    </w:p>
    <w:p>
      <w:pPr>
        <w:pStyle w:val="Body A"/>
        <w:rPr>
          <w:rFonts w:ascii="Comic Sans MS" w:cs="Comic Sans MS" w:hAnsi="Comic Sans MS" w:eastAsia="Comic Sans MS"/>
          <w:b w:val="1"/>
          <w:bCs w:val="1"/>
          <w:sz w:val="26"/>
          <w:szCs w:val="26"/>
        </w:rPr>
      </w:pPr>
    </w:p>
    <w:p>
      <w:pPr>
        <w:pStyle w:val="Body A"/>
        <w:rPr>
          <w:rFonts w:ascii="Comic Sans MS" w:cs="Comic Sans MS" w:hAnsi="Comic Sans MS" w:eastAsia="Comic Sans MS"/>
          <w:b w:val="1"/>
          <w:bCs w:val="1"/>
          <w:sz w:val="26"/>
          <w:szCs w:val="26"/>
        </w:rPr>
      </w:pPr>
      <w:r>
        <w:rPr>
          <w:rFonts w:ascii="Comic Sans MS" w:hAnsi="Comic Sans MS"/>
          <w:b w:val="1"/>
          <w:bCs w:val="1"/>
          <w:sz w:val="26"/>
          <w:szCs w:val="26"/>
          <w:rtl w:val="0"/>
          <w:lang w:val="en-US"/>
        </w:rPr>
        <w:t>The Church</w:t>
      </w:r>
      <w:r>
        <w:rPr>
          <w:rFonts w:ascii="Comic Sans MS" w:hAnsi="Comic Sans MS" w:hint="default"/>
          <w:b w:val="1"/>
          <w:bCs w:val="1"/>
          <w:sz w:val="26"/>
          <w:szCs w:val="26"/>
          <w:rtl w:val="0"/>
          <w:lang w:val="en-US"/>
        </w:rPr>
        <w:t>’</w:t>
      </w:r>
      <w:r>
        <w:rPr>
          <w:rFonts w:ascii="Comic Sans MS" w:hAnsi="Comic Sans MS"/>
          <w:b w:val="1"/>
          <w:bCs w:val="1"/>
          <w:sz w:val="26"/>
          <w:szCs w:val="26"/>
          <w:rtl w:val="0"/>
          <w:lang w:val="en-US"/>
        </w:rPr>
        <w:t>s Procedure for responding promptly to Safeguarding Concerns or Allegations.</w:t>
      </w:r>
    </w:p>
    <w:p>
      <w:pPr>
        <w:pStyle w:val="Body A"/>
        <w:rPr>
          <w:rFonts w:ascii="Comic Sans MS" w:cs="Comic Sans MS" w:hAnsi="Comic Sans MS" w:eastAsia="Comic Sans MS"/>
        </w:rPr>
      </w:pPr>
    </w:p>
    <w:p>
      <w:pPr>
        <w:pStyle w:val="Body A"/>
        <w:rPr>
          <w:rFonts w:ascii="Comic Sans MS" w:cs="Comic Sans MS" w:hAnsi="Comic Sans MS" w:eastAsia="Comic Sans MS"/>
        </w:rPr>
      </w:pPr>
      <w:r>
        <w:rPr>
          <w:rFonts w:ascii="Comic Sans MS" w:hAnsi="Comic Sans MS"/>
          <w:rtl w:val="0"/>
          <w:lang w:val="en-US"/>
        </w:rPr>
        <w:t>Every concern should be noted as these may contribute to the larger picture.</w:t>
      </w:r>
    </w:p>
    <w:p>
      <w:pPr>
        <w:pStyle w:val="Body A"/>
        <w:rPr>
          <w:rFonts w:ascii="Comic Sans MS" w:cs="Comic Sans MS" w:hAnsi="Comic Sans MS" w:eastAsia="Comic Sans MS"/>
        </w:rPr>
      </w:pPr>
    </w:p>
    <w:p>
      <w:pPr>
        <w:pStyle w:val="Body A"/>
        <w:rPr>
          <w:rFonts w:ascii="Comic Sans MS" w:cs="Comic Sans MS" w:hAnsi="Comic Sans MS" w:eastAsia="Comic Sans MS"/>
          <w:b w:val="1"/>
          <w:bCs w:val="1"/>
          <w:sz w:val="20"/>
          <w:szCs w:val="20"/>
        </w:rPr>
      </w:pPr>
      <w:r>
        <w:rPr>
          <w:rFonts w:ascii="Comic Sans MS" w:hAnsi="Comic Sans MS"/>
          <w:b w:val="1"/>
          <w:bCs w:val="1"/>
          <w:sz w:val="20"/>
          <w:szCs w:val="20"/>
          <w:rtl w:val="0"/>
          <w:lang w:val="en-US"/>
        </w:rPr>
        <w:t>If you have a concern that a child or adult is or may be being abused, or that a church officer is or may be abusing a child or adult, then you must follow the following procedures.</w:t>
      </w:r>
    </w:p>
    <w:p>
      <w:pPr>
        <w:pStyle w:val="Body A"/>
        <w:rPr>
          <w:rFonts w:ascii="Comic Sans MS" w:cs="Comic Sans MS" w:hAnsi="Comic Sans MS" w:eastAsia="Comic Sans MS"/>
          <w:b w:val="1"/>
          <w:bCs w:val="1"/>
          <w:sz w:val="20"/>
          <w:szCs w:val="20"/>
        </w:rPr>
      </w:pPr>
    </w:p>
    <w:p>
      <w:pPr>
        <w:pStyle w:val="Body A"/>
        <w:numPr>
          <w:ilvl w:val="0"/>
          <w:numId w:val="2"/>
        </w:numPr>
        <w:bidi w:val="0"/>
        <w:ind w:right="0"/>
        <w:jc w:val="left"/>
        <w:rPr>
          <w:rFonts w:ascii="Comic Sans MS" w:hAnsi="Comic Sans MS"/>
          <w:b w:val="1"/>
          <w:bCs w:val="1"/>
          <w:sz w:val="20"/>
          <w:szCs w:val="20"/>
          <w:rtl w:val="0"/>
          <w:lang w:val="en-US"/>
        </w:rPr>
      </w:pPr>
      <w:r>
        <w:rPr>
          <w:rFonts w:ascii="Comic Sans MS" w:hAnsi="Comic Sans MS"/>
          <w:b w:val="1"/>
          <w:bCs w:val="1"/>
          <w:sz w:val="20"/>
          <w:szCs w:val="20"/>
          <w:rtl w:val="0"/>
          <w:lang w:val="en-US"/>
        </w:rPr>
        <w:t xml:space="preserve">Respond </w:t>
      </w:r>
      <w:r>
        <w:rPr>
          <w:rFonts w:ascii="Comic Sans MS" w:hAnsi="Comic Sans MS"/>
          <w:b w:val="0"/>
          <w:bCs w:val="0"/>
          <w:sz w:val="20"/>
          <w:szCs w:val="20"/>
          <w:rtl w:val="0"/>
          <w:lang w:val="en-US"/>
        </w:rPr>
        <w:t>well to the person, if a direct disclosure, to ensure that they feel listened to and taken seriously. Explain to them what will happen next.</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b w:val="1"/>
          <w:bCs w:val="1"/>
          <w:rtl w:val="0"/>
          <w:lang w:val="en-US"/>
        </w:rPr>
        <w:t xml:space="preserve">Inform </w:t>
      </w:r>
      <w:r>
        <w:rPr>
          <w:rFonts w:ascii="Comic Sans MS" w:hAnsi="Comic Sans MS"/>
          <w:rtl w:val="0"/>
          <w:lang w:val="en-US"/>
        </w:rPr>
        <w:t>them that their identity and the identity of the respondent will be shared with key church officials and may be shared with statutory agencies, if there is a current risk to children or adults.</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rtl w:val="0"/>
          <w:lang w:val="en-US"/>
        </w:rPr>
        <w:t xml:space="preserve">If you believe it is an </w:t>
      </w:r>
      <w:r>
        <w:rPr>
          <w:rFonts w:ascii="Comic Sans MS" w:hAnsi="Comic Sans MS"/>
          <w:b w:val="1"/>
          <w:bCs w:val="1"/>
          <w:rtl w:val="0"/>
          <w:lang w:val="en-US"/>
        </w:rPr>
        <w:t>Emergency situation (</w:t>
      </w:r>
      <w:r>
        <w:rPr>
          <w:rFonts w:ascii="Comic Sans MS" w:hAnsi="Comic Sans MS"/>
          <w:rtl w:val="0"/>
          <w:lang w:val="en-US"/>
        </w:rPr>
        <w:t>child or adult in immediate danger of significant harm), then contact the emergency services on 999.</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rtl w:val="0"/>
          <w:lang w:val="en-US"/>
        </w:rPr>
        <w:t xml:space="preserve">If it is a </w:t>
      </w:r>
      <w:r>
        <w:rPr>
          <w:rFonts w:ascii="Comic Sans MS" w:hAnsi="Comic Sans MS"/>
          <w:b w:val="1"/>
          <w:bCs w:val="1"/>
          <w:rtl w:val="0"/>
          <w:lang w:val="en-US"/>
        </w:rPr>
        <w:t>Non-Emergency t</w:t>
      </w:r>
      <w:r>
        <w:rPr>
          <w:rFonts w:ascii="Comic Sans MS" w:hAnsi="Comic Sans MS"/>
          <w:rtl w:val="0"/>
          <w:lang w:val="en-US"/>
        </w:rPr>
        <w:t>hen contact the Parish Safeguarding Officer (PSO) or incumbent in the first instance. They must then contact  the Diocesan Safeguarding Adviser (DSA).  If neither are available, then contact the DSA directly. If the concern arises in an activity, discuss with the activity/group leader , who will contact the Parish Safeguarding Officer or incumbent.</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b w:val="1"/>
          <w:bCs w:val="1"/>
          <w:rtl w:val="0"/>
          <w:lang w:val="en-US"/>
        </w:rPr>
        <w:t>Any safeguarding concern</w:t>
      </w:r>
      <w:r>
        <w:rPr>
          <w:rFonts w:ascii="Comic Sans MS" w:hAnsi="Comic Sans MS"/>
          <w:rtl w:val="0"/>
          <w:lang w:val="en-US"/>
        </w:rPr>
        <w:t xml:space="preserve"> must be reported to the DSA within 24 hours.</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rtl w:val="0"/>
          <w:lang w:val="en-US"/>
        </w:rPr>
        <w:t>If the PSO, incumbent, or DSA are not available within 24hours, contact the local multi agency safeguarding team (</w:t>
      </w:r>
      <w:r>
        <w:rPr>
          <w:rFonts w:ascii="Comic Sans MS" w:hAnsi="Comic Sans MS"/>
          <w:b w:val="1"/>
          <w:bCs w:val="1"/>
          <w:rtl w:val="0"/>
          <w:lang w:val="en-US"/>
        </w:rPr>
        <w:t xml:space="preserve">MASH) 03451551071 </w:t>
      </w:r>
      <w:r>
        <w:rPr>
          <w:rFonts w:ascii="Comic Sans MS" w:hAnsi="Comic Sans MS"/>
          <w:rtl w:val="0"/>
          <w:lang w:val="en-US"/>
        </w:rPr>
        <w:t>and /or contact the Police.</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b w:val="1"/>
          <w:bCs w:val="1"/>
          <w:rtl w:val="0"/>
          <w:lang w:val="en-US"/>
        </w:rPr>
      </w:pPr>
      <w:r>
        <w:rPr>
          <w:rFonts w:ascii="Comic Sans MS" w:hAnsi="Comic Sans MS"/>
          <w:b w:val="1"/>
          <w:bCs w:val="1"/>
          <w:rtl w:val="0"/>
          <w:lang w:val="en-US"/>
        </w:rPr>
        <w:t>Remember, if in doubt always do something.</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b w:val="1"/>
          <w:bCs w:val="1"/>
          <w:rtl w:val="0"/>
          <w:lang w:val="en-US"/>
        </w:rPr>
        <w:t xml:space="preserve">Do not </w:t>
      </w:r>
      <w:r>
        <w:rPr>
          <w:rFonts w:ascii="Comic Sans MS" w:hAnsi="Comic Sans MS"/>
          <w:rtl w:val="0"/>
          <w:lang w:val="en-US"/>
        </w:rPr>
        <w:t>contact the respondent or anyone implicated until advice has been sought from the DSA or statutory authorities.</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b w:val="1"/>
          <w:bCs w:val="1"/>
          <w:rtl w:val="0"/>
          <w:lang w:val="en-US"/>
        </w:rPr>
        <w:t>Record</w:t>
      </w:r>
      <w:r>
        <w:rPr>
          <w:rFonts w:ascii="Comic Sans MS" w:hAnsi="Comic Sans MS"/>
          <w:rtl w:val="0"/>
          <w:lang w:val="en-US"/>
        </w:rPr>
        <w:t xml:space="preserve"> the details of the concerns/allegation as soon as possible.  Record the time, date , location, persons present, how the concern or allegation was received (face to face, telephone, email, letter etc).  Record the actual words used where possible. Record details of information provided to the person. Sign and date the record. Pass copy to DSA and keep copy secure and confidential.</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b w:val="1"/>
          <w:bCs w:val="1"/>
          <w:rtl w:val="0"/>
          <w:lang w:val="en-US"/>
        </w:rPr>
        <w:t xml:space="preserve">Record </w:t>
      </w:r>
      <w:r>
        <w:rPr>
          <w:rFonts w:ascii="Comic Sans MS" w:hAnsi="Comic Sans MS"/>
          <w:rtl w:val="0"/>
          <w:lang w:val="en-US"/>
        </w:rPr>
        <w:t xml:space="preserve">where possible the </w:t>
      </w:r>
      <w:r>
        <w:rPr>
          <w:rFonts w:ascii="Comic Sans MS" w:hAnsi="Comic Sans MS"/>
          <w:u w:color="10ac9a"/>
          <w:rtl w:val="0"/>
          <w:lang w:val="en-US"/>
        </w:rPr>
        <w:t>Child</w:t>
      </w:r>
      <w:r>
        <w:rPr>
          <w:rFonts w:ascii="Comic Sans MS" w:hAnsi="Comic Sans MS" w:hint="default"/>
          <w:u w:color="10ac9a"/>
          <w:rtl w:val="0"/>
          <w:lang w:val="en-US"/>
        </w:rPr>
        <w:t>’</w:t>
      </w:r>
      <w:r>
        <w:rPr>
          <w:rFonts w:ascii="Comic Sans MS" w:hAnsi="Comic Sans MS"/>
          <w:u w:color="10ac9a"/>
          <w:rtl w:val="0"/>
          <w:lang w:val="en-US"/>
        </w:rPr>
        <w:t>s or individual</w:t>
      </w:r>
      <w:r>
        <w:rPr>
          <w:rFonts w:ascii="Comic Sans MS" w:hAnsi="Comic Sans MS" w:hint="default"/>
          <w:u w:color="10ac9a"/>
          <w:rtl w:val="0"/>
          <w:lang w:val="en-US"/>
        </w:rPr>
        <w:t>’</w:t>
      </w:r>
      <w:r>
        <w:rPr>
          <w:rFonts w:ascii="Comic Sans MS" w:hAnsi="Comic Sans MS"/>
          <w:u w:color="10ac9a"/>
          <w:rtl w:val="0"/>
          <w:lang w:val="en-US"/>
        </w:rPr>
        <w:t>s</w:t>
      </w:r>
      <w:r>
        <w:rPr>
          <w:rFonts w:ascii="Comic Sans MS" w:hAnsi="Comic Sans MS"/>
          <w:outline w:val="0"/>
          <w:color w:val="10ac9a"/>
          <w:u w:color="10ac9a"/>
          <w:rtl w:val="0"/>
          <w:lang w:val="en-US"/>
          <w14:textFill>
            <w14:solidFill>
              <w14:srgbClr w14:val="10AC9A"/>
            </w14:solidFill>
          </w14:textFill>
        </w:rPr>
        <w:t xml:space="preserve"> </w:t>
      </w:r>
      <w:r>
        <w:rPr>
          <w:rFonts w:ascii="Comic Sans MS" w:hAnsi="Comic Sans MS"/>
          <w:rtl w:val="0"/>
          <w:lang w:val="en-US"/>
        </w:rPr>
        <w:t>full name, age, date of birth, address, telephone number and GP</w:t>
      </w:r>
    </w:p>
    <w:p>
      <w:pPr>
        <w:pStyle w:val="Body A"/>
        <w:numPr>
          <w:ilvl w:val="0"/>
          <w:numId w:val="3"/>
        </w:numPr>
        <w:bidi w:val="0"/>
        <w:ind w:right="0"/>
        <w:jc w:val="left"/>
        <w:rPr>
          <w:rFonts w:ascii="Comic Sans MS" w:hAnsi="Comic Sans MS"/>
          <w:rtl w:val="0"/>
          <w:lang w:val="en-US"/>
        </w:rPr>
      </w:pPr>
      <w:r>
        <w:rPr>
          <w:rFonts w:ascii="Comic Sans MS" w:hAnsi="Comic Sans MS"/>
          <w:rtl w:val="0"/>
          <w:lang w:val="en-US"/>
        </w:rPr>
        <w:t>There should be close communication between the DSA/PSO/incumbent until the situation is resolved.</w:t>
      </w:r>
    </w:p>
    <w:p>
      <w:pPr>
        <w:pStyle w:val="Body A"/>
        <w:rPr>
          <w:rFonts w:ascii="Comic Sans MS" w:cs="Comic Sans MS" w:hAnsi="Comic Sans MS" w:eastAsia="Comic Sans MS"/>
        </w:rPr>
      </w:pPr>
    </w:p>
    <w:p>
      <w:pPr>
        <w:pStyle w:val="Body A"/>
        <w:numPr>
          <w:ilvl w:val="0"/>
          <w:numId w:val="3"/>
        </w:numPr>
        <w:bidi w:val="0"/>
        <w:ind w:right="0"/>
        <w:jc w:val="left"/>
        <w:rPr>
          <w:rFonts w:ascii="Comic Sans MS" w:hAnsi="Comic Sans MS"/>
          <w:rtl w:val="0"/>
          <w:lang w:val="en-US"/>
        </w:rPr>
      </w:pPr>
      <w:r>
        <w:rPr>
          <w:rFonts w:ascii="Comic Sans MS" w:hAnsi="Comic Sans MS"/>
          <w:rtl w:val="0"/>
          <w:lang w:val="en-US"/>
        </w:rPr>
        <w:t>Appendix B</w:t>
      </w:r>
    </w:p>
    <w:p>
      <w:pPr>
        <w:pStyle w:val="Body A"/>
        <w:rPr>
          <w:rFonts w:ascii="Comic Sans MS" w:cs="Comic Sans MS" w:hAnsi="Comic Sans MS" w:eastAsia="Comic Sans MS"/>
          <w:b w:val="1"/>
          <w:bCs w:val="1"/>
        </w:rPr>
      </w:pPr>
    </w:p>
    <w:p>
      <w:pPr>
        <w:pStyle w:val="Body A"/>
        <w:jc w:val="center"/>
        <w:rPr>
          <w:rFonts w:ascii="Comic Sans MS" w:cs="Comic Sans MS" w:hAnsi="Comic Sans MS" w:eastAsia="Comic Sans MS"/>
          <w:b w:val="1"/>
          <w:bCs w:val="1"/>
          <w:sz w:val="26"/>
          <w:szCs w:val="26"/>
        </w:rPr>
      </w:pPr>
      <w:r>
        <w:rPr>
          <w:rFonts w:ascii="Comic Sans MS" w:hAnsi="Comic Sans MS"/>
          <w:b w:val="1"/>
          <w:bCs w:val="1"/>
          <w:sz w:val="26"/>
          <w:szCs w:val="26"/>
          <w:rtl w:val="0"/>
          <w:lang w:val="en-US"/>
        </w:rPr>
        <w:t>Guidelines for responding to a person Disclosing Abuse</w:t>
      </w:r>
    </w:p>
    <w:p>
      <w:pPr>
        <w:pStyle w:val="Body A"/>
        <w:rPr>
          <w:rFonts w:ascii="Comic Sans MS" w:cs="Comic Sans MS" w:hAnsi="Comic Sans MS" w:eastAsia="Comic Sans MS"/>
        </w:rPr>
      </w:pPr>
    </w:p>
    <w:p>
      <w:pPr>
        <w:pStyle w:val="Body A"/>
        <w:rPr>
          <w:rFonts w:ascii="Comic Sans MS" w:cs="Comic Sans MS" w:hAnsi="Comic Sans MS" w:eastAsia="Comic Sans MS"/>
          <w:b w:val="1"/>
          <w:bCs w:val="1"/>
          <w:sz w:val="24"/>
          <w:szCs w:val="24"/>
        </w:rPr>
      </w:pPr>
      <w:r>
        <w:rPr>
          <w:rFonts w:ascii="Comic Sans MS" w:hAnsi="Comic Sans MS"/>
          <w:b w:val="1"/>
          <w:bCs w:val="1"/>
          <w:sz w:val="24"/>
          <w:szCs w:val="24"/>
          <w:rtl w:val="0"/>
          <w:lang w:val="en-US"/>
        </w:rPr>
        <w:t>Respond</w:t>
      </w: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outline w:val="0"/>
          <w:color w:val="0433ff"/>
          <w:sz w:val="24"/>
          <w:szCs w:val="24"/>
          <w:u w:color="0433ff"/>
          <w14:textFill>
            <w14:solidFill>
              <w14:srgbClr w14:val="0433FF"/>
            </w14:solidFill>
          </w14:textFill>
        </w:rPr>
      </w:pPr>
      <w:r>
        <w:rPr>
          <w:rFonts w:ascii="Comic Sans MS" w:hAnsi="Comic Sans MS"/>
          <w:outline w:val="0"/>
          <w:color w:val="0433ff"/>
          <w:sz w:val="24"/>
          <w:szCs w:val="24"/>
          <w:u w:color="0433ff"/>
          <w:rtl w:val="0"/>
          <w:lang w:val="en-US"/>
          <w14:textFill>
            <w14:solidFill>
              <w14:srgbClr w14:val="0433FF"/>
            </w14:solidFill>
          </w14:textFill>
        </w:rPr>
        <w:t>Do</w:t>
      </w:r>
    </w:p>
    <w:p>
      <w:pPr>
        <w:pStyle w:val="Body A"/>
        <w:rPr>
          <w:rFonts w:ascii="Comic Sans MS" w:cs="Comic Sans MS" w:hAnsi="Comic Sans MS" w:eastAsia="Comic Sans MS"/>
          <w:sz w:val="24"/>
          <w:szCs w:val="24"/>
        </w:rPr>
      </w:pP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Listen carefully to what the person is saying and maintain eye contact.</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Take what is said seriously.</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Only use open ended questions (Who?, What? When? Where? Why?How?)</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allow the person to talk at their own pace.</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Remain calm and be positive</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Take into account the persons age and level of understanding</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Check whether they mind you taking notes whilst they talk.</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Offer reassurance that disclosing is the right thing to do</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Tell the person what you are going to do next.</w:t>
      </w: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outline w:val="0"/>
          <w:color w:val="0433ff"/>
          <w:sz w:val="24"/>
          <w:szCs w:val="24"/>
          <w:u w:color="0433ff"/>
          <w14:textFill>
            <w14:solidFill>
              <w14:srgbClr w14:val="0433FF"/>
            </w14:solidFill>
          </w14:textFill>
        </w:rPr>
      </w:pPr>
      <w:r>
        <w:rPr>
          <w:rFonts w:ascii="Comic Sans MS" w:hAnsi="Comic Sans MS"/>
          <w:outline w:val="0"/>
          <w:color w:val="0433ff"/>
          <w:sz w:val="24"/>
          <w:szCs w:val="24"/>
          <w:u w:color="0433ff"/>
          <w:rtl w:val="0"/>
          <w:lang w:val="en-US"/>
          <w14:textFill>
            <w14:solidFill>
              <w14:srgbClr w14:val="0433FF"/>
            </w14:solidFill>
          </w14:textFill>
        </w:rPr>
        <w:t>Do Not</w:t>
      </w:r>
    </w:p>
    <w:p>
      <w:pPr>
        <w:pStyle w:val="Body A"/>
        <w:rPr>
          <w:rFonts w:ascii="Comic Sans MS" w:cs="Comic Sans MS" w:hAnsi="Comic Sans MS" w:eastAsia="Comic Sans MS"/>
          <w:outline w:val="0"/>
          <w:color w:val="0433ff"/>
          <w:sz w:val="24"/>
          <w:szCs w:val="24"/>
          <w:u w:color="0433ff"/>
          <w14:textFill>
            <w14:solidFill>
              <w14:srgbClr w14:val="0433FF"/>
            </w14:solidFill>
          </w14:textFill>
        </w:rPr>
      </w:pP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promise confidentiality.</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make promises that cannot be kept.</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make assumptions or jump to conclusions.</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Investigate</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ask leading questions;</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contact the person about whom the allegations have been made.</w:t>
      </w:r>
    </w:p>
    <w:p>
      <w:pPr>
        <w:pStyle w:val="Body A"/>
        <w:numPr>
          <w:ilvl w:val="0"/>
          <w:numId w:val="4"/>
        </w:numPr>
        <w:bidi w:val="0"/>
        <w:ind w:right="0"/>
        <w:jc w:val="left"/>
        <w:rPr>
          <w:rFonts w:ascii="Comic Sans MS" w:hAnsi="Comic Sans MS"/>
          <w:sz w:val="24"/>
          <w:szCs w:val="24"/>
          <w:rtl w:val="0"/>
          <w:lang w:val="en-US"/>
        </w:rPr>
      </w:pPr>
      <w:r>
        <w:rPr>
          <w:rFonts w:ascii="Comic Sans MS" w:hAnsi="Comic Sans MS"/>
          <w:sz w:val="24"/>
          <w:szCs w:val="24"/>
          <w:rtl w:val="0"/>
          <w:lang w:val="en-US"/>
        </w:rPr>
        <w:t>Do not delay, or deal with concerns on your own.</w:t>
      </w: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sz w:val="24"/>
          <w:szCs w:val="24"/>
        </w:rPr>
      </w:pPr>
    </w:p>
    <w:p>
      <w:pPr>
        <w:pStyle w:val="Body A"/>
        <w:rPr>
          <w:rFonts w:ascii="Comic Sans MS" w:cs="Comic Sans MS" w:hAnsi="Comic Sans MS" w:eastAsia="Comic Sans MS"/>
          <w:b w:val="1"/>
          <w:bCs w:val="1"/>
          <w:sz w:val="24"/>
          <w:szCs w:val="24"/>
        </w:rPr>
      </w:pPr>
    </w:p>
    <w:p>
      <w:pPr>
        <w:pStyle w:val="Body A"/>
        <w:rPr>
          <w:rFonts w:ascii="Comic Sans MS" w:cs="Comic Sans MS" w:hAnsi="Comic Sans MS" w:eastAsia="Comic Sans MS"/>
        </w:rPr>
      </w:pPr>
    </w:p>
    <w:p>
      <w:pPr>
        <w:pStyle w:val="Body A"/>
        <w:rPr>
          <w:rFonts w:ascii="Comic Sans MS" w:cs="Comic Sans MS" w:hAnsi="Comic Sans MS" w:eastAsia="Comic Sans MS"/>
        </w:rPr>
      </w:pPr>
    </w:p>
    <w:p>
      <w:pPr>
        <w:pStyle w:val="Body A"/>
        <w:rPr>
          <w:rFonts w:ascii="Comic Sans MS" w:cs="Comic Sans MS" w:hAnsi="Comic Sans MS" w:eastAsia="Comic Sans MS"/>
        </w:rPr>
      </w:pPr>
    </w:p>
    <w:p>
      <w:pPr>
        <w:pStyle w:val="Body A"/>
        <w:rPr>
          <w:rFonts w:ascii="Comic Sans MS" w:cs="Comic Sans MS" w:hAnsi="Comic Sans MS" w:eastAsia="Comic Sans MS"/>
          <w:b w:val="1"/>
          <w:bCs w:val="1"/>
          <w:sz w:val="24"/>
          <w:szCs w:val="24"/>
        </w:rPr>
      </w:pPr>
      <w:r>
        <w:rPr>
          <w:rFonts w:ascii="Comic Sans MS" w:hAnsi="Comic Sans MS"/>
          <w:b w:val="1"/>
          <w:bCs w:val="1"/>
          <w:sz w:val="24"/>
          <w:szCs w:val="24"/>
          <w:rtl w:val="0"/>
          <w:lang w:val="en-US"/>
        </w:rPr>
        <w:t>Appendix C</w:t>
      </w:r>
    </w:p>
    <w:p>
      <w:pPr>
        <w:pStyle w:val="Body A"/>
        <w:rPr>
          <w:rFonts w:ascii="Comic Sans MS" w:cs="Comic Sans MS" w:hAnsi="Comic Sans MS" w:eastAsia="Comic Sans MS"/>
          <w:sz w:val="24"/>
          <w:szCs w:val="24"/>
        </w:rPr>
      </w:pPr>
    </w:p>
    <w:p>
      <w:pPr>
        <w:pStyle w:val="Body A"/>
        <w:jc w:val="center"/>
        <w:rPr>
          <w:rFonts w:ascii="Comic Sans MS" w:cs="Comic Sans MS" w:hAnsi="Comic Sans MS" w:eastAsia="Comic Sans MS"/>
          <w:b w:val="1"/>
          <w:bCs w:val="1"/>
          <w:sz w:val="26"/>
          <w:szCs w:val="26"/>
        </w:rPr>
      </w:pPr>
      <w:r>
        <w:rPr>
          <w:rFonts w:ascii="Comic Sans MS" w:hAnsi="Comic Sans MS"/>
          <w:b w:val="1"/>
          <w:bCs w:val="1"/>
          <w:sz w:val="26"/>
          <w:szCs w:val="26"/>
          <w:rtl w:val="0"/>
          <w:lang w:val="en-US"/>
        </w:rPr>
        <w:t>Quick Guide to responding promptly -taken from Parish Safeguarding Handbook</w:t>
      </w:r>
    </w:p>
    <w:p>
      <w:pPr>
        <w:pStyle w:val="Default"/>
        <w:spacing w:before="0" w:line="280" w:lineRule="atLeast"/>
      </w:pPr>
      <w:r>
        <w:rPr>
          <w:rFonts w:ascii="Comic Sans MS" w:cs="Comic Sans MS" w:hAnsi="Comic Sans MS" w:eastAsia="Comic Sans MS"/>
        </w:rPr>
        <w:drawing xmlns:a="http://schemas.openxmlformats.org/drawingml/2006/main">
          <wp:inline distT="0" distB="0" distL="0" distR="0">
            <wp:extent cx="6119930" cy="7919909"/>
            <wp:effectExtent l="0" t="0" r="0" b="0"/>
            <wp:docPr id="1073741825" name="officeArt object" descr="page20image33306224.jpg"/>
            <wp:cNvGraphicFramePr/>
            <a:graphic xmlns:a="http://schemas.openxmlformats.org/drawingml/2006/main">
              <a:graphicData uri="http://schemas.openxmlformats.org/drawingml/2006/picture">
                <pic:pic xmlns:pic="http://schemas.openxmlformats.org/drawingml/2006/picture">
                  <pic:nvPicPr>
                    <pic:cNvPr id="1073741825" name="page20image33306224.jpg" descr="page20image33306224.jpg"/>
                    <pic:cNvPicPr>
                      <a:picLocks noChangeAspect="1"/>
                    </pic:cNvPicPr>
                  </pic:nvPicPr>
                  <pic:blipFill>
                    <a:blip r:embed="rId4">
                      <a:extLst/>
                    </a:blip>
                    <a:stretch>
                      <a:fillRect/>
                    </a:stretch>
                  </pic:blipFill>
                  <pic:spPr>
                    <a:xfrm>
                      <a:off x="0" y="0"/>
                      <a:ext cx="6119930" cy="7919909"/>
                    </a:xfrm>
                    <a:prstGeom prst="rect">
                      <a:avLst/>
                    </a:prstGeom>
                    <a:ln w="12700" cap="flat">
                      <a:noFill/>
                      <a:miter lim="400000"/>
                    </a:ln>
                    <a:effectLst/>
                  </pic:spPr>
                </pic:pic>
              </a:graphicData>
            </a:graphic>
          </wp:inline>
        </w:drawing>
      </w:r>
      <w:r>
        <w:rPr>
          <w:rFonts w:ascii="Comic Sans MS" w:hAnsi="Comic Sans MS"/>
          <w:rtl w:val="0"/>
          <w:lang w:val="en-US"/>
        </w:rPr>
        <w:t xml:space="preserve">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Comic Sans MS" w:cs="Comic Sans MS" w:hAnsi="Comic Sans MS" w:eastAsia="Comic Sans MS"/>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80" w:hanging="180"/>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Comic Sans MS" w:cs="Comic Sans MS" w:hAnsi="Comic Sans MS" w:eastAsia="Comic Sans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